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SASU Peïo LEGORBURU</w:t>
      </w:r>
    </w:p>
    <w:p>
      <w:pPr>
        <w:spacing w:line="240" w:lineRule="auto" w:before="0" w:after="0"/>
        <w:jc w:val="right"/>
      </w:pPr>
      <w:r>
        <w:t>484, Route de Socoa</w:t>
      </w:r>
    </w:p>
    <w:p>
      <w:pPr>
        <w:spacing w:line="240" w:lineRule="auto" w:before="0" w:after="0"/>
        <w:jc w:val="right"/>
      </w:pPr>
      <w:r>
        <w:t>64700 URRUGNE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par son implantation à Sare et d'Urrugne, témoigne d'une présence ancrée dans le territoire. Cette double implantation suggère une diversité de contextes d'intervention, allant du milieu rural aux spécificités du tissu urbain local, tout en restant proche des acteurs du terrain. Cette capacité à intervenir sur des zones géographiques distinctes tout en maintenant une approche de proximité constitue un cadre de travail structurant pour la gestion de projets fonciers variés, nécessitant une connaissance fine des réalités locales.</w:t>
      </w:r>
    </w:p>
    <w:p>
      <w:pPr>
        <w:spacing w:line="276" w:lineRule="auto" w:before="0" w:after="160"/>
        <w:jc w:val="both"/>
      </w:pPr>
      <w:r>
        <w:t>Mon parcours m'a doté d'une forte culture de la donnée spatiale (topographie, modélisation, SIG) et d'une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