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 Jean Bernard Osanz</w:t>
      </w:r>
    </w:p>
    <w:p>
      <w:pPr>
        <w:spacing w:line="240" w:lineRule="auto" w:before="0" w:after="0"/>
        <w:jc w:val="right"/>
      </w:pPr>
      <w:r>
        <w:t>SCP OSANZ Philippe</w:t>
      </w:r>
    </w:p>
    <w:p>
      <w:pPr>
        <w:spacing w:line="240" w:lineRule="auto" w:before="0" w:after="0"/>
        <w:jc w:val="right"/>
      </w:pPr>
      <w:r>
        <w:t>28, Avenue Vignancour</w:t>
      </w:r>
    </w:p>
    <w:p>
      <w:pPr>
        <w:spacing w:line="240" w:lineRule="auto" w:before="0" w:after="0"/>
        <w:jc w:val="right"/>
      </w:pPr>
      <w:r>
        <w:t>64000 PAU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Pau depuis 1992, témoigne d'une solide pérennité et d'une maîtrise affirmée du cœur de métier. Cette présence de longue date au sein du territoire suggère une expertise ancrée dans la connaissance fine du foncier local et une capacité à accompagner des projets variés avec une grande fiabilité. La stabilité de votre structure est un gage de sérieux qui correspond parfaitement à mon souhait d'intégrer un environnement professionnel structuré.</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mobilisant mes compétences en programmation Python pour le traitement de données spatiales.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Osanz,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