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Pierre-Marie Chevrier</w:t>
      </w:r>
    </w:p>
    <w:p>
      <w:pPr>
        <w:spacing w:line="240" w:lineRule="auto" w:before="0" w:after="0"/>
        <w:jc w:val="right"/>
      </w:pPr>
      <w:r>
        <w:t>SELAS DREVET CHEVRIER SELAS GE</w:t>
      </w:r>
    </w:p>
    <w:p>
      <w:pPr>
        <w:spacing w:line="240" w:lineRule="auto" w:before="0" w:after="0"/>
        <w:jc w:val="right"/>
      </w:pPr>
      <w:r>
        <w:t>3, chemin de la Marouette Pôle Igo Aldea B1</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Chevrier,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DREVET CHEVRIER SELAS GE présente une implantation structurée sur les territoires de Bayonne et de Labenne. Cette présence géographique permet d'intervenir sur une diversité de contextes, du tissu urbain aux zones plus rurales. Fort d'une existence depuis 1990, votre cabinet assure une continuité de service et une maîtrise approfondie des problématiques foncières locales. Cette longévité témoigne d'une expertise solide et d'une approche ancrée dans la réalité du terrain ainsi que dans la connaissance du patrimoine foncier.</w:t>
      </w:r>
    </w:p>
    <w:p>
      <w:pPr>
        <w:spacing w:line="276" w:lineRule="auto" w:before="0" w:after="160"/>
        <w:jc w:val="both"/>
      </w:pPr>
      <w:r>
        <w:t>Mon parcours universitaire de recherche m'a doté d'une forte culture de la donnée spatiale et d'une solide capacité d'analyse face aux problématiques complexes. Ma formation de docteur m'a préparé à un travail rigoureux sur les archives et à la synthèse de données. Ces compétences sont directement transposables pour assimiler rapidement les spécificités du droit foncier et les réglementations d'urbanisme. Je conçois ce stage comme un véritable échange de compétences entre la rigueur de la donnée et l'expertise du droit foncier, en m'appuyant sur ma méthode de chercheur pour apporter une réelle valeur ajoutée à vos opérations d'aménagement.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Chevrier,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