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Thibaut Martin Giraud</w:t>
      </w:r>
    </w:p>
    <w:p>
      <w:pPr>
        <w:spacing w:line="240" w:lineRule="auto" w:before="0" w:after="0"/>
        <w:jc w:val="right"/>
      </w:pPr>
      <w:r>
        <w:t>AGEA GIRAUD LAVRARD</w:t>
      </w:r>
    </w:p>
    <w:p>
      <w:pPr>
        <w:spacing w:line="240" w:lineRule="auto" w:before="0" w:after="0"/>
        <w:jc w:val="right"/>
      </w:pPr>
      <w:r>
        <w:t>15bis, Avenue du Maréchal Foch</w:t>
      </w:r>
    </w:p>
    <w:p>
      <w:pPr>
        <w:spacing w:line="240" w:lineRule="auto" w:before="0" w:after="0"/>
        <w:jc w:val="right"/>
      </w:pPr>
      <w:r>
        <w:t>86100 CHATELLERAULT</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Giraud,</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implanté sur plusieurs sites à Châtellerault, St Avertin et Loudun, témoigne d'une présence ancrée sur un territoire varié. Cette multi-implantation suggère une diversité de contextes d'intervention, entre zones urbaines et environnements ruraux, ainsi qu'une maîtrise confirmée du cœur de métier au sein d'une structure à taille humaine. Cette organisation permet d'allier la proximité avec les clients à une expertise diversifiée, couvrant des problématiques foncières variées sur l'ensemble de votre zone d'activité.</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Giraud,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