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Bachellier</w:t>
      </w:r>
    </w:p>
    <w:p>
      <w:pPr>
        <w:spacing w:line="240" w:lineRule="auto" w:before="0" w:after="0"/>
        <w:jc w:val="right"/>
      </w:pPr>
      <w:r>
        <w:t>BRANLY &amp; ASSOCIES</w:t>
      </w:r>
    </w:p>
    <w:p>
      <w:pPr>
        <w:spacing w:line="240" w:lineRule="auto" w:before="0" w:after="0"/>
        <w:jc w:val="right"/>
      </w:pPr>
      <w:r>
        <w:t>24, Rue Bonneuil-Matours</w:t>
      </w:r>
    </w:p>
    <w:p>
      <w:pPr>
        <w:spacing w:line="240" w:lineRule="auto" w:before="0" w:after="0"/>
        <w:jc w:val="right"/>
      </w:pPr>
      <w:r>
        <w:t>86000 POITIERS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BRANLY &amp; ASSOCIES se distingue par une approche globale de la protection et de la valorisation du patrimoine foncier. Votre positionnement, qui souligne la nécessité de la garantie foncière face à la simple sécurité juridique de l'acte notarié, témoigne d'une expertise pointue et d'une volonté d'éduquer le client sur la réalité factuelle du terrain. La diversité de vos activités, allant du conseil juridique à l'expertise spécifique des cavités souterraines, ainsi que votre ancrage régional sur plusieurs sites dans le Grand Ouest, reflètent une structure solide capable de gérer des projets complexes nécessitant une collaboration transverse entre géomètres, juristes et techniciens.</w:t>
      </w:r>
    </w:p>
    <w:p>
      <w:pPr>
        <w:spacing w:line="276" w:lineRule="auto" w:before="0" w:after="160"/>
        <w:jc w:val="both"/>
      </w:pPr>
      <w:r>
        <w:t>En m'adressant à votre structure, je recherche un cadre permettant de mettre à profit ma culture de la donnée spatiale et ma capacité d'analyse. Mon parcours universitaire de recherche, notamment en archéologie spécialisée en urbanisme, m'a doté d'une solide méthode de travail sur des problématiques complexes, me permettant d'assimiler rapidement des cadres réglementaires denses. Mon objectif est de mettre cette force de production technique au service de vos opérations d'aménagement, tout en m'appuyant sur ma rigueur méthodologique pour répondre aux enjeux de sécurisation foncière propres à votre cabinet.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Bachellier,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