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Pascal Francois Remi Sureau</w:t>
      </w:r>
    </w:p>
    <w:p>
      <w:pPr>
        <w:spacing w:line="240" w:lineRule="auto" w:before="0" w:after="0"/>
        <w:jc w:val="right"/>
      </w:pPr>
      <w:r>
        <w:t>SUREAU Pascal SARL</w:t>
      </w:r>
    </w:p>
    <w:p>
      <w:pPr>
        <w:spacing w:line="240" w:lineRule="auto" w:before="0" w:after="0"/>
        <w:jc w:val="right"/>
      </w:pPr>
      <w:r>
        <w:t>92-94 avenue Paul Painlevé</w:t>
      </w:r>
    </w:p>
    <w:p>
      <w:pPr>
        <w:spacing w:line="240" w:lineRule="auto" w:before="0" w:after="0"/>
        <w:jc w:val="right"/>
      </w:pPr>
      <w:r>
        <w:t>86100 CHATELLERAULT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Sureau,</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ou d’aménagement durable.</w:t>
      </w:r>
    </w:p>
    <w:p>
      <w:pPr>
        <w:spacing w:line="276" w:lineRule="auto" w:before="0" w:after="160"/>
        <w:jc w:val="both"/>
      </w:pPr>
      <w:r>
        <w:t>Votre cabinet, créé en 1900, témoigne d'une longévité remarquable dans l'exercice de la profession. Cette présence historique suggère une maîtrise approfondie du cœur du métier et une connaissance fine du patrimoine foncier local. Dans une structure à taille humaine, la proximité avec les clients et la polyvalence technique nécessaire à la gestion de dossiers variés constituent des piliers de professionnalisme que je respecte particulièrement.</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entre la rigueur de la donnée et l'expertise du droit foncier, où ma capacité de synthèse et mon aisance avec les outils numériques seront un atout pour traiter efficacement vos dossiers d'aménagement.</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permis de mesurer que les outils techniques ne prennent leur pleine valeur que lorsqu’ils viennent appuyer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Sureau,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