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Pimpaud</w:t>
      </w:r>
    </w:p>
    <w:p>
      <w:pPr>
        <w:spacing w:line="240" w:lineRule="auto" w:before="0" w:after="0"/>
        <w:jc w:val="right"/>
      </w:pPr>
      <w:r>
        <w:t>Cabinet PIMPAUD Patrick</w:t>
      </w:r>
    </w:p>
    <w:p>
      <w:pPr>
        <w:spacing w:line="240" w:lineRule="auto" w:before="0" w:after="0"/>
        <w:jc w:val="right"/>
      </w:pPr>
      <w:r>
        <w:t>10 rue Edouard Vaillant</w:t>
      </w:r>
    </w:p>
    <w:p>
      <w:pPr>
        <w:spacing w:line="240" w:lineRule="auto" w:before="0" w:after="0"/>
        <w:jc w:val="right"/>
      </w:pPr>
      <w:r>
        <w:t>87000 LIMOGES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Pimpaud,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1981, témoigne d'une présence durable au sein du territoire limousin. Cette pérennité souligne une maîtrise approfondie du cœur de métier et une solide connaissance des spécificités locales, tant sur le plan technique que réglementaire. Une structure de cette envergure permet de bénéficier d'une approche de proximité, où la qualité du conseil technique et la rigueur de l'expertise foncière constituent les piliers de la relation de confiance avec les clients et les partenaires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une dualité que je souhaite explorer avec sérieux.</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Pimpaud,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