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Bonnel</w:t>
      </w:r>
    </w:p>
    <w:p>
      <w:pPr>
        <w:spacing w:line="240" w:lineRule="auto" w:before="0" w:after="0"/>
        <w:jc w:val="right"/>
      </w:pPr>
      <w:r>
        <w:t>SELARL AXIOME</w:t>
      </w:r>
    </w:p>
    <w:p>
      <w:pPr>
        <w:spacing w:line="240" w:lineRule="auto" w:before="0" w:after="0"/>
        <w:jc w:val="right"/>
      </w:pPr>
      <w:r>
        <w:t>56 avenue des Corbières</w:t>
      </w:r>
    </w:p>
    <w:p>
      <w:pPr>
        <w:spacing w:line="240" w:lineRule="auto" w:before="0" w:after="0"/>
        <w:jc w:val="right"/>
      </w:pPr>
      <w:r>
        <w:t>11300 LIMOUX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AXIOME se distingue par un ancrage territorial solide dans les départements de l’Aude et de l’Ariège, soutenu par un patrimoine d'archives de plus de 50 ans. Cette pérennité témoigne d'une maîtrise profonde du foncier local. Votre approche, qui conjugue des compétences techniques de pointe — notamment l'usage du scanner 3D pour la non-intrusivité — avec une expertise juridique et de médiation, souligne une volonté d'accompagner les projets complexes avec une sécurité juridique garantie. Cette capacité à valoriser le patrimoine foncier tout en assurant une réactivité administrative personnalisée constitue un modèle d'excellence pour la profession.</w:t>
      </w:r>
    </w:p>
    <w:p>
      <w:pPr>
        <w:spacing w:line="276" w:lineRule="auto" w:before="0" w:after="160"/>
        <w:jc w:val="both"/>
      </w:pPr>
      <w:r>
        <w:t>Mon parcours académique m'a doté d'une forte culture de la donnée spatiale et d'une solide capacité d'analyse. Ma formation de chercheur m'a appris à traiter des données denses et à synthétiser des informations pour éclairer des décisions. Mon objectif est de mettre cette force de production technique au service de vos opérations d'aménagement, tout en m'appuyant sur ma méthode de travail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