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Andre Germain Assemat</w:t>
      </w:r>
    </w:p>
    <w:p>
      <w:pPr>
        <w:spacing w:line="240" w:lineRule="auto" w:before="0" w:after="0"/>
        <w:jc w:val="right"/>
      </w:pPr>
      <w:r>
        <w:t>SARL LBP ETUDES ET CONSEIL</w:t>
      </w:r>
    </w:p>
    <w:p>
      <w:pPr>
        <w:spacing w:line="240" w:lineRule="auto" w:before="0" w:after="0"/>
        <w:jc w:val="right"/>
      </w:pPr>
      <w:r>
        <w:t>55 bis avenue Etienne Soulié</w:t>
      </w:r>
    </w:p>
    <w:p>
      <w:pPr>
        <w:spacing w:line="240" w:lineRule="auto" w:before="0" w:after="0"/>
        <w:jc w:val="right"/>
      </w:pPr>
      <w:r>
        <w:t>12200 VILLEFRANCHE DE ROUERGUE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Assemat,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Suite à un stage d’observation au sein du cabinet de Monsieur Pascal Vailles à Muret (31), je dépose ma candidature pour intégrer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d'aménagement durable.</w:t>
      </w:r>
    </w:p>
    <w:p>
      <w:pPr>
        <w:spacing w:line="276" w:lineRule="auto" w:before="0" w:after="160"/>
        <w:jc w:val="both"/>
      </w:pPr>
      <w:r>
        <w:t>LBP Études et Conseil se distingue par un ancrage historique fort en Occitanie et une connaissance approfondie des acteurs locaux. Votre capacité à accompagner les projets sur l'ensemble de leur cycle de vie, de la genèse à la finalisation, tout en mobilisant des technologies de pointe telles que la numérisation 3D par scanner, l'usage de drones et les relevés géoréférencés, témoigne d'une volonté d'excellence constante. La diversité de vos agences garantit une réactivité et une proximité essentielles pour apporter des solutions globales et sur-mesure aux enjeux de l'aménagement du territoire.</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et les spécificités juridiques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Assemat,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