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Jean-Paul Roger Roques</w:t>
      </w:r>
    </w:p>
    <w:p>
      <w:pPr>
        <w:spacing w:line="240" w:lineRule="auto" w:before="0" w:after="0"/>
        <w:jc w:val="right"/>
      </w:pPr>
      <w:r>
        <w:t>SCP ROQUES</w:t>
      </w:r>
    </w:p>
    <w:p>
      <w:pPr>
        <w:spacing w:line="240" w:lineRule="auto" w:before="0" w:after="0"/>
        <w:jc w:val="right"/>
      </w:pPr>
      <w:r>
        <w:t>2 place de l'Eglise</w:t>
      </w:r>
    </w:p>
    <w:p>
      <w:pPr>
        <w:spacing w:line="240" w:lineRule="auto" w:before="0" w:after="0"/>
        <w:jc w:val="right"/>
      </w:pPr>
      <w:r>
        <w:t>12400 ST AFFRIQUE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Roques,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solide et sa présence sur plusieurs implantations, notamment à Lacaune, Alban et Saint-Affrique. Cette pluralité de sites témoigne d'une capacité à intervenir sur une diversité de contextes géographiques et de problématiques foncières variées. La pérennité de votre structure depuis 1996 souligne une maîtrise éprouvée du cœur de métier, garantissant une approche de proximité alliée à une connaissance approfondie des enjeux locaux.</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Roques,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