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Anne Bernadette Taillefer</w:t>
      </w:r>
    </w:p>
    <w:p>
      <w:pPr>
        <w:spacing w:line="240" w:lineRule="auto" w:before="0" w:after="0"/>
        <w:jc w:val="right"/>
      </w:pPr>
      <w:r>
        <w:t>SELARL Anne TAILLEFER</w:t>
      </w:r>
    </w:p>
    <w:p>
      <w:pPr>
        <w:spacing w:line="240" w:lineRule="auto" w:before="0" w:after="0"/>
        <w:jc w:val="right"/>
      </w:pPr>
      <w:r>
        <w:t>236 rue Neuve res 23 rue neuve</w:t>
      </w:r>
    </w:p>
    <w:p>
      <w:pPr>
        <w:spacing w:line="240" w:lineRule="auto" w:before="0" w:after="0"/>
        <w:jc w:val="right"/>
      </w:pPr>
      <w:r>
        <w:t>12290 PONT DE SALARS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Taillefer,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en activité depuis 2005 à Pont de Salars, témoigne d'une solide implantation locale et d'une maîtrise du cœur de métier. Cette pérennité suggère une connaissance approfondie des enjeux fonciers du territoire et une approche de proximité avec les clients. La structure a su s'ancrer durablement dans son environnement, assurant une expertise continue ainsi qu'une connaissance fine des spécificités géométriques et réglementaires locales.</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Taillefer,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