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la SELARL BBASS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 maillage territorial dense couvrant l'Hérault et le Gard, permettant une présence de proximité auprès de clients aux projets variés, tant en milieu urbain que rural. Cette capacité à accompagner une diversité de missions — du bornage à la gestion de copropriétés — témoigne d'une solide expertise technique. Votre approche, privilégiant la clarté pédagogique pour assurer la sécurité juridique et l'opposabilité des actes fonciers, reflète une volonté constante de conseil et de réactivité face aux enjeux concrets des propriétaires.</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