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des dirigeants du Cabinet CARTA et MORIN</w:t>
      </w:r>
    </w:p>
    <w:p>
      <w:pPr>
        <w:spacing w:line="240" w:lineRule="auto" w:before="0" w:after="0"/>
        <w:jc w:val="right"/>
      </w:pPr>
      <w:r>
        <w:t>21 allées Frédéric Mistral BP 91042, 30130 PONT ST ESPRIT</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se distingue par son implantation sur plusieurs sites au sein du territoire de l'Ardèche, notamment à Lalevade et à Pont Saint-Esprit. Cette présence multi-sites témoigne d'une capacité à couvrir une diversité de problématiques foncières sur un territoire spécifique. Votre structure permet d'allier une maîtrise du cœur de métier à une connaissance fine des enjeux locaux, garantissant un accompagnement précis pour les projets d'aménagement.</w:t>
      </w:r>
    </w:p>
    <w:p>
      <w:pPr>
        <w:spacing w:line="276" w:lineRule="auto" w:before="0" w:after="160"/>
        <w:jc w:val="both"/>
      </w:pPr>
      <w:r>
        <w:t>Mon parcours d'universitaire de recherche m'a doté d'une forte culture de la donnée spatiale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