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Jean-Michel RICHER</w:t>
      </w:r>
    </w:p>
    <w:p>
      <w:pPr>
        <w:spacing w:line="240" w:lineRule="auto" w:before="0" w:after="0"/>
        <w:jc w:val="right"/>
      </w:pPr>
      <w:r>
        <w:t>97 rue Grieg</w:t>
      </w:r>
    </w:p>
    <w:p>
      <w:pPr>
        <w:spacing w:line="240" w:lineRule="auto" w:before="0" w:after="0"/>
        <w:jc w:val="right"/>
      </w:pPr>
      <w:r>
        <w:t>30000 NIMES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pour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et règles d’urbanisme pour sécuriser des projets, qu’il s’agisse de bornage, de division ou d’aménagement durable.</w:t>
      </w:r>
    </w:p>
    <w:p>
      <w:pPr>
        <w:spacing w:line="276" w:lineRule="auto" w:before="0" w:after="160"/>
        <w:jc w:val="both"/>
      </w:pPr>
      <w:r>
        <w:t>Votre cabinet se distingue par une expertise pluridisciplinaire solide, alliant les compétences de l'ingénieur, du technicien de la mesure et du juriste spécialisé en droit de la propriété. Votre ancrage territorial de trente années et votre capacité à intervenir sur des projets d'infrastructures d'envergure, notamment sur la distribution d'eau ou les risques d'inondation, témoignent d'une maîtrise technique éprouvée. La démarche qualité est ici mise au service d'une approche de partenariat axée sur l'écoute et l'accompagnement des professionnels, ainsi qu'un engagement en faveur de la prévention des risques environnementaux.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à votre cabinet.</w:t>
      </w:r>
    </w:p>
    <w:p>
      <w:pPr>
        <w:spacing w:line="276" w:lineRule="auto" w:before="0" w:after="160"/>
        <w:jc w:val="both"/>
      </w:pPr>
      <w:r>
        <w:t>Je vous prie d’agréer, Monsieur RICHER,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