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Gabriel Mordant</w:t>
      </w:r>
    </w:p>
    <w:p>
      <w:pPr>
        <w:spacing w:line="240" w:lineRule="auto" w:before="0" w:after="0"/>
        <w:jc w:val="right"/>
      </w:pPr>
      <w:r>
        <w:t>SARL MT-GEO</w:t>
      </w:r>
    </w:p>
    <w:p>
      <w:pPr>
        <w:spacing w:line="240" w:lineRule="auto" w:before="0" w:after="0"/>
        <w:jc w:val="right"/>
      </w:pPr>
      <w:r>
        <w:t>94-96 Quai de Tounis</w:t>
      </w:r>
    </w:p>
    <w:p>
      <w:pPr>
        <w:spacing w:line="240" w:lineRule="auto" w:before="0" w:after="0"/>
        <w:jc w:val="right"/>
      </w:pPr>
      <w:r>
        <w:t>31000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Mordant,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MT-GEO se distingue par sa structure à taille humaine, caractéristique d'une approche de proximité et d'une maîtrise affirmée du cœur de métier. Cette configuration permet une polyvalence opérationnelle et une implication directe dans les différents aspects des missions de géomètre-expert. Votre cabinet offre un cadre propice à une transmission de savoir-faire précise, où la qualité de la relation client et la réactivité face aux problématiques foncières locales sont des piliers fondamentaux de votre activité quotidienne.</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Mordant,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