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Christine Befre</w:t>
      </w:r>
    </w:p>
    <w:p>
      <w:pPr>
        <w:spacing w:line="240" w:lineRule="auto" w:before="0" w:after="0"/>
        <w:jc w:val="right"/>
      </w:pPr>
      <w:r>
        <w:t>SELARL GEOXITANE</w:t>
      </w:r>
    </w:p>
    <w:p>
      <w:pPr>
        <w:spacing w:line="240" w:lineRule="auto" w:before="0" w:after="0"/>
        <w:jc w:val="right"/>
      </w:pPr>
      <w:r>
        <w:t>122quinter Avenue des Pyrénées</w:t>
      </w:r>
    </w:p>
    <w:p>
      <w:pPr>
        <w:spacing w:line="240" w:lineRule="auto" w:before="0" w:after="0"/>
        <w:jc w:val="right"/>
      </w:pPr>
      <w:r>
        <w:t>31600 MURET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Cette double exigence, alliant précision technique et analyse juridique, constitue pour moi le cœur de la profession.</w:t>
      </w:r>
    </w:p>
    <w:p>
      <w:pPr>
        <w:spacing w:line="276" w:lineRule="auto" w:before="0" w:after="160"/>
        <w:jc w:val="both"/>
      </w:pPr>
      <w:r>
        <w:t>Le cabinet GEOXITANE se distingue par sa présence établie sur deux sites à Muret et Tarbes, lui permettant de couvrir des enjeux territoriaux variés. Cette structure multisite, alliée à une dimension humaine à taille de six à neuf salariés, témoigne d'une capacité à intervenir sur des contextes géographiques diversifiés tout en maintenant une approche de proximité avec les acteurs locaux. Cette organisation offre un environnement propice à la compréhension des spécificités territoriales et à la gestion de projets d'envergure, alliant polyvalence géographique et expertise technique.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au sein d'une structure qui valorise la précision du diagnostic.</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