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Florence Claude Amphoux</w:t>
      </w:r>
    </w:p>
    <w:p>
      <w:pPr>
        <w:spacing w:line="240" w:lineRule="auto" w:before="0" w:after="0"/>
        <w:jc w:val="right"/>
      </w:pPr>
      <w:r>
        <w:t>SARL EPSILON GE</w:t>
      </w:r>
    </w:p>
    <w:p>
      <w:pPr>
        <w:spacing w:line="240" w:lineRule="auto" w:before="0" w:after="0"/>
        <w:jc w:val="right"/>
      </w:pPr>
      <w:r>
        <w:t>3041 bd Paul Valéry</w:t>
      </w:r>
    </w:p>
    <w:p>
      <w:pPr>
        <w:spacing w:line="240" w:lineRule="auto" w:before="0" w:after="0"/>
        <w:jc w:val="right"/>
      </w:pPr>
      <w:r>
        <w:t>34070 MONTPELLIER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Amphoux,</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plurielle et une présence affirmée sur le territoire montpelliérain depuis 1993. La diversité de vos domaines d'intervention, allant de la copropriété et de la division à l'aménagement urbain et à la topographie 3D, témoigne d'une maîtrise complète des enjeux fonciers et techniques. Cette capacité à intervenir sur des problématiques aussi variées que l'urbanisme et le foncier démontre une solide structuration métier, offrant un cadre d'apprentissage complet et exigeant. Votre approche globale des projets, mêlant précision technique et vision d'aménagement, correspond à l'exigence de rigueur que je souhaite intégrer dans ma pratique professionnelle.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Amphoux,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