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SASU SUD GEO</w:t>
      </w:r>
    </w:p>
    <w:p>
      <w:pPr>
        <w:spacing w:line="240" w:lineRule="auto" w:before="0" w:after="0"/>
        <w:jc w:val="right"/>
      </w:pPr>
      <w:r>
        <w:t>2 rue Albert Magnelli</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Votre cabinet, implanté à Béziers, se distingue par une approche qui semble privilégier la maîtrise du cœur du métier et une proximité essentielle avec ses clients. Dans un secteur géographique aux enjeux fonciers diversifiés, votre expertise permet d'assurer une sécurisation précise des territoires, qu'il s'agisse de problématiques rurales ou d'aménagements urbains. Je suis particulièrement sensible à cette dimension de conseil de proximité où la technicité doit répondre avec précision aux réalités concrètes des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analyse structurée à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