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ATELIER 3.14</w:t>
      </w:r>
    </w:p>
    <w:p>
      <w:pPr>
        <w:spacing w:line="240" w:lineRule="auto" w:before="0" w:after="0"/>
        <w:jc w:val="right"/>
      </w:pPr>
      <w:r>
        <w:t>10 rue Canton</w:t>
      </w:r>
    </w:p>
    <w:p>
      <w:pPr>
        <w:spacing w:line="240" w:lineRule="auto" w:before="0" w:after="0"/>
        <w:jc w:val="right"/>
      </w:pPr>
      <w:r>
        <w:t>34090 MONTPELLIER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structure, la SELARL ATELIER 3.14, se distingue par une approche privilégiant la précision et la qualité du conseil technique. L'appellation « Atelier » suggère une attention particulière à la méthodologie et à la finesse de l'exécution, des valeurs essentielles pour assurer la fiabilité des actes fonciers. Je suis particulièrement attentif à votre ancrage territorial à Montpellier, témoignant d'un engagement constant en matière de sécurisation foncière et d'aménagement durable.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en m'appuyant sur ma méthode de chercheur pour assimiler rapidement le cadre réglementaire. Je conçois ce stage comme un véritable échange de compétences entre la rigueur de la donnée et l'expertise du droit foncier, où ma capacité de synthèse sera un levier pour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