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Pierre-Francois Boullet</w:t>
      </w:r>
    </w:p>
    <w:p>
      <w:pPr>
        <w:spacing w:line="240" w:lineRule="auto" w:before="0" w:after="0"/>
        <w:jc w:val="right"/>
      </w:pPr>
      <w:r>
        <w:t>SELARL GEOM 7</w:t>
      </w:r>
    </w:p>
    <w:p>
      <w:pPr>
        <w:spacing w:line="240" w:lineRule="auto" w:before="0" w:after="0"/>
        <w:jc w:val="right"/>
      </w:pPr>
      <w:r>
        <w:t>7 rue de Berlin Parc Aquatechnique</w:t>
      </w:r>
    </w:p>
    <w:p>
      <w:pPr>
        <w:spacing w:line="240" w:lineRule="auto" w:before="0" w:after="0"/>
        <w:jc w:val="right"/>
      </w:pPr>
      <w:r>
        <w:t>34200 SETE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Boullet,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SELARL GEOM 7 se distingue par une présence solide et ancrée sur le territoire depuis 1997. Avec une structure de taille intermédiaire, elle offre un cadre propice à une approche de proximité humaine, garantissant une maîtrise rigoureuse du cœur du métier. Cette stabilité et cette expertise historique au service des usagers constituent un environnement propice à la gestion de la complexité des enjeux fonciers locaux, où la précision technique rencontre les réalités du terrain dans un cadre de travail structuré et pérenne.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la précision du relevé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Boullet,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