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Frank Bonnet</w:t>
      </w:r>
    </w:p>
    <w:p>
      <w:pPr>
        <w:spacing w:line="240" w:lineRule="auto" w:before="0" w:after="0"/>
        <w:jc w:val="right"/>
      </w:pPr>
      <w:r>
        <w:t>Cabinet BONNET &amp; Associés SELARL</w:t>
      </w:r>
    </w:p>
    <w:p>
      <w:pPr>
        <w:spacing w:line="240" w:lineRule="auto" w:before="0" w:after="0"/>
        <w:jc w:val="right"/>
      </w:pPr>
      <w:r>
        <w:t>129 boulevard Gambetta</w:t>
      </w:r>
    </w:p>
    <w:p>
      <w:pPr>
        <w:spacing w:line="240" w:lineRule="auto" w:before="0" w:after="0"/>
        <w:jc w:val="right"/>
      </w:pPr>
      <w:r>
        <w:t>46000 CAHORS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autour d'une dimension à taille humaine, se distingue par une approche centrée sur le cœur du métier de géomètre-expert. La structure de votre étude permet une maîtrise directe des enjeux fonciers et une proximité essentielle avec les clients, garantissant une gestion rigoureuse et personnalisée des dossiers. Cette organisation, alliant réactivité et expertise technique, constitue un environnement propice à une pratique du métier exigeante et de qualité.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