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Jacques Andre Rieu</w:t>
      </w:r>
    </w:p>
    <w:p>
      <w:pPr>
        <w:spacing w:line="240" w:lineRule="auto" w:before="0" w:after="0"/>
        <w:jc w:val="right"/>
      </w:pPr>
      <w:r>
        <w:t>SELARL SOGEXFO Centre - Cabinet FALCON</w:t>
      </w:r>
    </w:p>
    <w:p>
      <w:pPr>
        <w:spacing w:line="240" w:lineRule="auto" w:before="0" w:after="0"/>
        <w:jc w:val="right"/>
      </w:pPr>
      <w:r>
        <w:t>16 Boulevard Foch Espace Gévaudan</w:t>
      </w:r>
    </w:p>
    <w:p>
      <w:pPr>
        <w:spacing w:line="240" w:lineRule="auto" w:before="0" w:after="0"/>
        <w:jc w:val="right"/>
      </w:pPr>
      <w:r>
        <w:t>48100 MARVEJOLS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à Muret, je sollicite aujourd'hui votre structure avec la volonté de m'y investir pleinement et d'apprendre auprès de vos experts.</w:t>
      </w:r>
    </w:p>
    <w:p>
      <w:pPr>
        <w:spacing w:line="276" w:lineRule="auto" w:before="0" w:after="160"/>
        <w:jc w:val="both"/>
      </w:pPr>
      <w:r>
        <w:t>Le métier de géomètre-expert répond précisément à mes aspirations professionnelles : il allie rigueur technique sur le terrain et ingénierie juridique du territoire. Si la pratique de terrain m’attire, c’est avant tout la dimension intellectuelle qui me motive : confronter les archives historiques, les réalités matérielles et les règles d'urbanisme complexes pour sécuriser des projets de bornage, de division ou d'aménagement durable. C'est cette dualité entre précision technique et sécurité juridique qui constitue le cœur de ma motivation.</w:t>
      </w:r>
    </w:p>
    <w:p>
      <w:pPr>
        <w:spacing w:line="276" w:lineRule="auto" w:before="0" w:after="160"/>
        <w:jc w:val="both"/>
      </w:pPr>
      <w:r>
        <w:t>Votre cabinet se distingue par une implantation ancrée dans le territoire marvéjolsien. Cette proximité avec les acteurs locaux et la gestion de dossiers variés exigent une maîtrise exigeante du cœur de métier et une connaissance fine des enjeux fonciers locaux. Votre structure incarne cette exigence de précision, où chaque opération nécessite une adéquation parfaite entre le relevé précis sur le terrain et la sécurisation juridique durable du patrimoine immobilier et foncier local.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quotidiennes, tout en mobilisant ma méthode de recherche pour assimiler rapidement le cadre réglementaire spécifique de la profession. Je conçois ce stage comme un véritable échange entre la rigueur de la donnée brute et l'expertise pointue du droit foncier que vous exercez.</w:t>
      </w:r>
    </w:p>
    <w:p>
      <w:pPr>
        <w:spacing w:line="276" w:lineRule="auto" w:before="0" w:after="160"/>
        <w:jc w:val="both"/>
      </w:pPr>
      <w:r>
        <w:t>Lors de ma récente immersion en cabinet, j’ai acquis une solide maîtrise des méthodes de production, de l’acquisition sur le terrain jusqu’à la restitution graphique finale. Ces semaines m’ont permis de mesurer que les outils techniques ne prennent leur pleine valeur que lorsqu’ils appuient un raisonnement juridique solide. Conscient que la maîtrise opérationnelle s'acquiert par la pratique quotidienne et répétée, je suis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