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Goueze</w:t>
      </w:r>
    </w:p>
    <w:p>
      <w:pPr>
        <w:spacing w:line="240" w:lineRule="auto" w:before="0" w:after="0"/>
        <w:jc w:val="right"/>
      </w:pPr>
      <w:r>
        <w:t>Cabinet GOUEZE Christophe</w:t>
      </w:r>
    </w:p>
    <w:p>
      <w:pPr>
        <w:spacing w:line="240" w:lineRule="auto" w:before="0" w:after="0"/>
        <w:jc w:val="right"/>
      </w:pPr>
      <w:r>
        <w:t>3 route de Bartres</w:t>
      </w:r>
    </w:p>
    <w:p>
      <w:pPr>
        <w:spacing w:line="240" w:lineRule="auto" w:before="0" w:after="0"/>
        <w:jc w:val="right"/>
      </w:pPr>
      <w:r>
        <w:t>65100 ADE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2005 à ADE, témoigne d'une solide expérience et d'une maîtrise confirmée du cœur de métier de géomètre-expert. La pérennité de votre structure et votre implantation locale reflètent une connaissance approfondie des enjeux fonciers du territoire, offrant un cadre de travail stable et rigoureux pour la gestion de dossiers complexes de proximité, où la précision technique et la connaissance du terrain sont essentielles.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J'ai ainsi mesuré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Goueze,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