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Marobin</w:t>
      </w:r>
    </w:p>
    <w:p>
      <w:pPr>
        <w:spacing w:line="240" w:lineRule="auto" w:before="0" w:after="0"/>
        <w:jc w:val="right"/>
      </w:pPr>
      <w:r>
        <w:t>Cabinet MAROBIN Christophe</w:t>
      </w:r>
    </w:p>
    <w:p>
      <w:pPr>
        <w:spacing w:line="240" w:lineRule="auto" w:before="0" w:after="0"/>
        <w:jc w:val="right"/>
      </w:pPr>
      <w:r>
        <w:t>Grande rue, 65240 ARREAU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Marobin,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permettant une maîtrise approfondie du cœur de métier et une proximité directe avec les clients. Cette configuration favorise une approche rigoureuse et personnalisée de chaque dossier, garantissant un suivi de qualité sur des problématiques foncières variées, essentielles à la pérennité de la gestion du territoire. Cette proximité, alliée à une expertise technique consolidée depuis 2004, constitue un environnement privilégié pour une pratique exigeante de la géométrie.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Marobin,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