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Baptiste Cumoura</w:t>
      </w:r>
    </w:p>
    <w:p>
      <w:pPr>
        <w:spacing w:line="240" w:lineRule="auto" w:before="0" w:after="0"/>
        <w:jc w:val="right"/>
      </w:pPr>
      <w:r>
        <w:t>GEOMONTIS SELARL</w:t>
      </w:r>
    </w:p>
    <w:p>
      <w:pPr>
        <w:spacing w:line="240" w:lineRule="auto" w:before="0" w:after="0"/>
        <w:jc w:val="right"/>
      </w:pPr>
      <w:r>
        <w:t>7 Rue Alphonse Cazes</w:t>
      </w:r>
    </w:p>
    <w:p>
      <w:pPr>
        <w:spacing w:line="240" w:lineRule="auto" w:before="0" w:after="0"/>
        <w:jc w:val="right"/>
      </w:pPr>
      <w:r>
        <w:t>65200 BAGNERES DE BIGORRE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globale de la gestion foncière, alliant une expertise technique pointue — notamment en division d'unité foncière et en études topographiques — à une dimension relationnelle et préventive essentielle. Votre engagement en faveur de la médiation foncière, visant à instaurer le dialogue pour résoudre les désaccords de manière amiable, témoigne d'une volonté d'accompagnement éthique des propriétaires. Par ailleurs, votre double compétence en transaction immobilière et en expertise judiciaire souligne une maîtrise exigeante de la sécurité juridique du patrimoine foncier sur votre territoire.</w:t>
      </w:r>
    </w:p>
    <w:p>
      <w:pPr>
        <w:spacing w:line="276" w:lineRule="auto" w:before="0" w:after="160"/>
        <w:jc w:val="both"/>
      </w:pPr>
      <w:r>
        <w:t>En m'adressant à votre structure, je recherche un environnement où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de division et d'expertise, tout en m'appuyant sur ma méthode de chercheur pour assimiler rapidement le cadre réglementaire de la profession. Je conçois ce stage comme un véritable échange de compétences entre la rigueur de la donnée et l'expertise juridique du terrain.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Cumoura,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