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JULES</w:t>
      </w:r>
    </w:p>
    <w:p>
      <w:pPr>
        <w:spacing w:line="240" w:lineRule="auto" w:before="0" w:after="0"/>
        <w:jc w:val="right"/>
      </w:pPr>
      <w:r>
        <w:t>EURL BORNAGE EXPERTISE GEOMETRE-EXPERT</w:t>
      </w:r>
    </w:p>
    <w:p>
      <w:pPr>
        <w:spacing w:line="240" w:lineRule="auto" w:before="0" w:after="0"/>
        <w:jc w:val="right"/>
      </w:pPr>
      <w:r>
        <w:t>3 rue des Roses</w:t>
      </w:r>
    </w:p>
    <w:p>
      <w:pPr>
        <w:spacing w:line="240" w:lineRule="auto" w:before="0" w:after="0"/>
        <w:jc w:val="right"/>
      </w:pPr>
      <w:r>
        <w:t>66300 TROUILLAS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Jules,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parcelles ou d’aménagement durable. Il s'agit de traduire une réalité physique en une donnée juridique fiable.</w:t>
      </w:r>
    </w:p>
    <w:p>
      <w:pPr>
        <w:spacing w:line="276" w:lineRule="auto" w:before="0" w:after="160"/>
        <w:jc w:val="both"/>
      </w:pPr>
      <w:r>
        <w:t>Votre cabinet, exercé depuis plus de vingt ans à Trouillas, incarne une structure à taille humaine où la maîtrise du cœur de métier et la proximité avec la clientèle sont essentielles. Cette dimension de cabinet indépendant permet une approche rigoureuse et personnalisée des problématiques foncières, garantissant une transmission de savoir-faire précise et une attention particulière aux détails techniques propres aux enjeux locaux. C'est dans cet environnement de confiance que je souhaite apprendre la pratique quotidienne du métier.</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 incluant une sensibilité aux SIG, au scanner 3D et à la programmation Python — au service de vos opérations, tout en m'appuyant sur ma méthode de chercheur pour assimiler rapidement le cadre réglementaire de la profession. Je conçois ce stage comme un véritable échange de compétences entre la rigueur de la donnée et l'expertise du droit foncier, en mobilisant mes capacités de synthèse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Jules,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