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AIR GEO SCP</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sa capacité à conjuguer une solide expérience, ancrée depuis 1926, avec une approche résolument moderne et technologique. Cette double dimension, alliant un ancrage local fort à travers vos nombreuses agences et une envergure nationale pour des opérations d'envergure, témoigne d'une maîtrise complète des enjeux territoriaux. Votre expertise, couvrant des missions de bornage et de division jusqu'aux projets complexes d'urbanisme ou de gestion de copropriété, illustre une exigence de qualité et une polyvalence qui caractérisent votre identité professionnelle.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