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Caroline Ripoche</w:t>
      </w:r>
    </w:p>
    <w:p>
      <w:pPr>
        <w:spacing w:line="240" w:lineRule="auto" w:before="0" w:after="0"/>
        <w:jc w:val="right"/>
      </w:pPr>
      <w:r>
        <w:t>Cabinet ALBEDO</w:t>
      </w:r>
    </w:p>
    <w:p>
      <w:pPr>
        <w:spacing w:line="240" w:lineRule="auto" w:before="0" w:after="0"/>
        <w:jc w:val="right"/>
      </w:pPr>
      <w:r>
        <w:t>138 Rue Alphonse Fouschard</w:t>
      </w:r>
    </w:p>
    <w:p>
      <w:pPr>
        <w:spacing w:line="240" w:lineRule="auto" w:before="0" w:after="0"/>
        <w:jc w:val="right"/>
      </w:pPr>
      <w:r>
        <w:t>44521 OUDON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Ripoche,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d'une structure dynamique, rigoureuse et ambitieuse.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ALBEDO se distingue par sa structure récente, témoignant d'une approche moderne et d'une volonté de construire une expertise solide depuis sa création en 2021. Cette dynamique de croissance, alliée à une gestion de proximité, reflète une ambition de qualité et de réactivité dans le traitement des dossiers fonciers et techniques complexes. Votre cabinet semble porter une vision proactive de la profession, capable de répondre avec précision aux enjeux contemporains de structuration du territoire.</w:t>
      </w:r>
    </w:p>
    <w:p>
      <w:pPr>
        <w:spacing w:line="276" w:lineRule="auto" w:before="0" w:after="160"/>
        <w:jc w:val="both"/>
      </w:pPr>
      <w:r>
        <w:t>Mon parcours universitaire de recherche m'a doté d'une forte culture de la donnée spatiale et d'une solide capacité d'analyse face aux problématiques complexes, nourrie par une méthodologie rigoureuse.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mon travail sur les archives et la modélisation,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Ripoche,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