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ARRONDEL</w:t>
      </w:r>
    </w:p>
    <w:p>
      <w:pPr>
        <w:spacing w:line="240" w:lineRule="auto" w:before="0" w:after="0"/>
        <w:jc w:val="right"/>
      </w:pPr>
      <w:r>
        <w:t>122 place Maurice Gelineau BP 60132, 44154 ANCENIS ST GEREON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sur plusieurs sites, notamment à Ancenis St Géréon et à Nort Sur Erdre. Cette présence géographique témoigne d'une capacité à intervenir sur une diversité de territoires et de contextes fonciers variés. Votre approche, axée sur une gestion complète et un accompagnement durable, reflète une volonté d'offrir des solutions globales et structurées. Cette organisation, alliant expertise technique et suivi de long terme, constitue un cadre de travail rigoureux pour un futur collaborateur souhaitant appréhender la complexité des enjeux territoriaux.</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