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d’Atlantique Géomètres Experts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où la finalité de la commande prime sur la production technique. En plaçant l’humain au centre de vos interventions, vous proposez un accompagnement véritable du maître d’ouvrage dans la valorisation de son patrimoine. Cette volonté d'appréhender les lieux, leur occupation et leur contexte constitue un préalable indispensable à vos prestations, qu'il s'agisse de la conception d'aménagements VRD, de la gestion des eaux ou de la rédaction de clauses de copropriété. Votre capacité à façonner de nouveaux territoires avec vos clients témoigne d'une vision globale du métier, où le plan devient un outil fiable de gestion.</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et d'une solide capacité d'analyse face aux problématiques complexes. Mon objectif est de mettre cette force technique au service de vos opérations d'aménagement, tout en m'appuyant sur ma méthode de chercheur pour assimiler rapidement le cadre réglementaire. Je conçois ce stage comme un échange entre la rigueur de la donnée et l'expertise du droit foncier.</w:t>
      </w:r>
    </w:p>
    <w:p>
      <w:pPr>
        <w:spacing w:line="276" w:lineRule="auto" w:before="0" w:after="160"/>
        <w:jc w:val="both"/>
      </w:pPr>
      <w:r>
        <w:t>Lors de ma récente immersion, j'ai découvert le travail de terrain. Ma familiarité avec la donnée spatiale m’a permis d’assimiler rapidement les méthodes de production, de l’acquisition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