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Jerome Neil Barbery</w:t>
      </w:r>
    </w:p>
    <w:p>
      <w:pPr>
        <w:spacing w:line="240" w:lineRule="auto" w:before="0" w:after="0"/>
        <w:jc w:val="right"/>
      </w:pPr>
      <w:r>
        <w:t>BCG Géomètres-Experts</w:t>
      </w:r>
    </w:p>
    <w:p>
      <w:pPr>
        <w:spacing w:line="240" w:lineRule="auto" w:before="0" w:after="0"/>
        <w:jc w:val="right"/>
      </w:pPr>
      <w:r>
        <w:t>9 rue Thomas Edison BP 14</w:t>
      </w:r>
    </w:p>
    <w:p>
      <w:pPr>
        <w:spacing w:line="240" w:lineRule="auto" w:before="0" w:after="0"/>
        <w:jc w:val="right"/>
      </w:pPr>
      <w:r>
        <w:t>44130 BLAIN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Barbery,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ma candidature pour m'investir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en matière de bornage, de division ou d'aménagement.</w:t>
      </w:r>
    </w:p>
    <w:p>
      <w:pPr>
        <w:spacing w:line="276" w:lineRule="auto" w:before="0" w:after="160"/>
        <w:jc w:val="both"/>
      </w:pPr>
      <w:r>
        <w:t>BCG Géomètres-Experts se distingue par une double expertise, conjuguant les métiers du foncier et de l'ingénierie VRD. Cette polyvalence, alliée à une présence multi-sites sur le département de la Loire-Atlantique, permet d'appréhender une grande diversité de projets, allant de demandes ponctuelles à des projets d'envergure comme les lotissements ou la voirie. Votre approche, axée sur le conseil, la valorisation et la garantie des biens, témoigne d'une volonté d'accompagner les clients avec une réactivité et un savoir-faire spécifiques. Travailler au sein d'une structure à taille humaine, axée sur des projets concrets et une gestion rigoureuse du foncier, constitue un cadre de travail stimulant.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à votre cabinet.</w:t>
      </w:r>
    </w:p>
    <w:p>
      <w:pPr>
        <w:spacing w:line="276" w:lineRule="auto" w:before="0" w:after="160"/>
        <w:jc w:val="both"/>
      </w:pPr>
      <w:r>
        <w:t>Je vous prie d’agréer, Monsieur Barbery,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