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Marc Choimet</w:t>
      </w:r>
    </w:p>
    <w:p>
      <w:pPr>
        <w:spacing w:line="240" w:lineRule="auto" w:before="0" w:after="0"/>
        <w:jc w:val="right"/>
      </w:pPr>
      <w:r>
        <w:t>39 rue du Calvaire de Grillaud</w:t>
      </w:r>
    </w:p>
    <w:p>
      <w:pPr>
        <w:spacing w:line="240" w:lineRule="auto" w:before="0" w:after="0"/>
        <w:jc w:val="right"/>
      </w:pPr>
      <w:r>
        <w:t>44100 NANTES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Choimet,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taille humaine et reconnue pour son expertise. Je souhaite mettre mon sérieux et ma capacité d'apprentissage au profit de votre équipe.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de copropriété ou d’aménagement durable, tout en assurant une compréhension fine des enjeux de propriété.</w:t>
      </w:r>
    </w:p>
    <w:p>
      <w:pPr>
        <w:spacing w:line="276" w:lineRule="auto" w:before="0" w:after="160"/>
        <w:jc w:val="both"/>
      </w:pPr>
      <w:r>
        <w:t>Votre cabinet se distingue par une structure à taille humaine qui permet une approche de proximité et une maîtrise approfondie du cœur du métier. Cette organisation favorise une polyvalence opérationnelle et un accompagnement personnalisé des projets, garantissant une rigueur constante dans la gestion du patrimoine foncier et la sécurisation des opérations au sein de la région nantaise.</w:t>
      </w:r>
    </w:p>
    <w:p>
      <w:pPr>
        <w:spacing w:line="276" w:lineRule="auto" w:before="0" w:after="160"/>
        <w:jc w:val="both"/>
      </w:pPr>
      <w:r>
        <w:t>Mon parcours m'a doté d'une forte culture de la donnée spatiale (SIG, topographie, modélisation) et d'une solide capacité d'analyse face aux problématiques complexes. Mon objectif est de mettre cette force de production technique au service de vos opérations de géomètrie, tout en m'appuyant sur ma méthode de chercheur pour assimiler rapidement le cadre réglementaire de la profession, tant au niveau du droit foncier que des procédures d'urbanisme.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tout en veillant à la précision des relevés et à la qualité des rendus cartographiques. Ces semaines m’ont surtout permis de mesurer que les outils techniques ne prennent leur pleine valeur que lorsqu’ils viennent appuyer un raisonnement juridique. Conscient que la maîtrise opérationnelle s’acquiert par la pratique quotidienne au sein d'une équipe expérimentée,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Choimet,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