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Stanislas Doizy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instructif au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GEOMETRYZ se distingue par une assise historique solide, portée par plus de soixante-quinze années d’archives sur la Loire-Atlantique et la Vendée. Cette connaissance du patrimoine foncier local s'allie à une volonté de modernisation, illustrée par l'évolution récente de la structure. L'approche pluridisciplinaire de vos sept collaborateurs, conjuguant expertise technique en relevés 3D et maîtrise des enjeux juridiques, garantit une sécurité foncière rigoureuse. De plus, l'intégration de préoccupations environnementales dans les projets de VRD témoigne d'une vision durable du métier.</w:t>
      </w:r>
    </w:p>
    <w:p>
      <w:pPr>
        <w:spacing w:line="276" w:lineRule="auto" w:before="0" w:after="160"/>
        <w:jc w:val="both"/>
      </w:pPr>
      <w:r>
        <w:t>Mon parcours de chercheur en archéologie, spécialisé en urbanisme et fortifications, m'a doté d'une solide capacité d'analyse et de synthèse, utile pour assimiler rapidement le cadre réglementaire de la profession. Je possède une forte culture de la donnée spatiale (SIG, Python, scanner 3D). Mon objectif est de mettre cette force de production technique au service de vos opérations de division, de lotissement et d'aménagement, tout en m'appuyant sur ma méthode de travail pour traiter les problématiques complexes liées au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Doizy,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