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SCULO-CHATELLIER</w:t>
      </w:r>
    </w:p>
    <w:p>
      <w:pPr>
        <w:spacing w:line="240" w:lineRule="auto" w:before="0" w:after="0"/>
        <w:jc w:val="right"/>
      </w:pPr>
      <w:r>
        <w:t>14 Avenue Gustave Flaubert Rés Saint Aubin BP 15301, 44353 GUERANDE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de formation,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solide et reconnue comme la vôtre.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d’urbanisme en vigueur pour sécuriser des projets complexes, qu’il s’agisse de bornage, de division parcellaire ou d’aménagement durable.</w:t>
      </w:r>
    </w:p>
    <w:p>
      <w:pPr>
        <w:spacing w:line="276" w:lineRule="auto" w:before="0" w:after="160"/>
        <w:jc w:val="both"/>
      </w:pPr>
      <w:r>
        <w:t>Votre cabinet se distingue par une présence significative sur plusieurs territoires aux caractéristiques géographiques variées, de la zone urbaine de Saint-Nazaire aux environnements ruraux et côtiers de La Roche Bernard et de Guérande. Cette diversité témoigne d'une capacité à intervenir sur des problématiques foncières variées, tout en maintenant une maîtrise rigoureuse du cœur du métier. Cette pluralité de contextes constitue un environnement de travail stimulant pour appréhender avec justesse la complexité des enjeux territoriaux actuels.</w:t>
      </w:r>
    </w:p>
    <w:p>
      <w:pPr>
        <w:spacing w:line="276" w:lineRule="auto" w:before="0" w:after="160"/>
        <w:jc w:val="both"/>
      </w:pPr>
      <w:r>
        <w:t>Mon parcours universitaire de recherche, axé sur l'urbanisme et l'analyse d'archives,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les dossiers les plus denses.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