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Corentin Alfred Louis Lemonnier</w:t>
      </w:r>
    </w:p>
    <w:p>
      <w:pPr>
        <w:spacing w:line="240" w:lineRule="auto" w:before="0" w:after="0"/>
        <w:jc w:val="right"/>
      </w:pPr>
      <w:r>
        <w:t>SNA Géomètre-expert</w:t>
      </w:r>
    </w:p>
    <w:p>
      <w:pPr>
        <w:spacing w:line="240" w:lineRule="auto" w:before="0" w:after="0"/>
        <w:jc w:val="right"/>
      </w:pPr>
      <w:r>
        <w:t>17 rue Océane L'Odysséa</w:t>
      </w:r>
    </w:p>
    <w:p>
      <w:pPr>
        <w:spacing w:line="240" w:lineRule="auto" w:before="0" w:after="0"/>
        <w:jc w:val="right"/>
      </w:pPr>
      <w:r>
        <w:t>44800 ST HERBLAIN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Lemonnier,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pour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SNA Géomètre-expert se distingue par sa création récente en 2025, témoignant d'une volonté de structuration rigoureuse et d'une approche moderne de la profession. Une telle organisation permet de mettre en œuvre des méthodes de travail précises et une réactivité nécessaire au développement d'une structure en pleine expansion. Votre implantation à Saint-Herblain souligne une volonté de proximité et de qualité de service, garantissant une maîtrise du cœur de métier pour répondre aux enjeux fonciers actuels.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Lemonnier,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