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AGEIS Selarl de Géomètres Experts</w:t>
      </w:r>
    </w:p>
    <w:p>
      <w:pPr>
        <w:spacing w:line="240" w:lineRule="auto" w:before="0" w:after="0"/>
        <w:jc w:val="right"/>
      </w:pPr>
      <w:r>
        <w:t>15 rue Papiau de la Verrie</w:t>
      </w:r>
    </w:p>
    <w:p>
      <w:pPr>
        <w:spacing w:line="240" w:lineRule="auto" w:before="0" w:after="0"/>
        <w:jc w:val="right"/>
      </w:pPr>
      <w:r>
        <w:t>49000 ANGERS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urbanisme pour sécuriser des projets, qu’il s’agisse de bornage, de division ou d’aménagement.</w:t>
      </w:r>
    </w:p>
    <w:p>
      <w:pPr>
        <w:spacing w:line="276" w:lineRule="auto" w:before="0" w:after="160"/>
        <w:jc w:val="both"/>
      </w:pPr>
      <w:r>
        <w:t>Votre cabinet propose une approche transversale et une maîtrise complète de la chaîne de conception, allant de l'expertise foncière à la conception et l'exécution VRD. Votre capacité à intégrer des technologies de pointe, telles que le scanning laser 3D et la modélisation 3DBIM, témoigne d'une volonté d'innovation au service de projets d'envergure. Par ailleurs, votre engagement à accompagner vos clients tout au long de leurs opérations — qu'il s'agisse d'aménagement urbain, de permis de construire ou de problématiques environnementales — reflète une vision globale et une expertise reconnue du territoire.</w:t>
      </w:r>
    </w:p>
    <w:p>
      <w:pPr>
        <w:spacing w:line="276" w:lineRule="auto" w:before="0" w:after="160"/>
        <w:jc w:val="both"/>
      </w:pPr>
      <w:r>
        <w:t>Mon parcours universitaire de recherche m'a doté d'une solide culture de la donnée spatiale et d'une forte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