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AIR GEO SCP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AIR GEO se distingue par une dualité remarquable entre un héritage historique, fondé en 1926, et une volonté constante d'évolution technologique. Sa capacité à concilier un ancrage local solide, assuré par un maillage de onze agences, avec une envergure nationale pour des opérations de grande envergure, témoigne d'une maîtrise complète des enjeux du territoire. Cette approche pluridisciplinaire, orientée vers la sécurisation des projets et l'accompagnement de clients variés, reflète une exigence de qualité et une adaptabilité aux évolutions réglementaires et techniques actuelles.</w:t>
      </w:r>
    </w:p>
    <w:p>
      <w:pPr>
        <w:spacing w:line="276" w:lineRule="auto" w:before="0" w:after="160"/>
        <w:jc w:val="both"/>
      </w:pPr>
      <w:r>
        <w:t>Mon parcours m'a doté d'une forte culture de la donnée spatiale (topographie, modélisation) et d'une solide capacité d'analyse face aux problématiques foncières.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