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Isabelle Lhumeau (Brichet)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complexes, qu’il s’agisse de bornage, de division ou d’aménagement durable.</w:t>
      </w:r>
    </w:p>
    <w:p>
      <w:pPr>
        <w:spacing w:line="276" w:lineRule="auto" w:before="0" w:after="160"/>
        <w:jc w:val="both"/>
      </w:pPr>
      <w:r>
        <w:t>Votre cabinet se distingue par un ancrage territorial marqué en Anjou, avec une présence structurée sur plusieurs sites à Baugé en Anjou, Château la Vallière et Beaufort en Anjou. Cette implantation multi-sites témoigne d'une expertise capable de répondre à une grande diversité de problématiques, allant des enjeux ruraux aux réalités urbaines. Votre structure, en activité depuis 2009, permet d'appréhender la pluralité des paysages et des contextes fonciers propres à votre zone d'activité, garantissant ainsi une approche polyvalente et une maîtrise approfondie du cœur de métier sur un territoire varié.</w:t>
      </w:r>
    </w:p>
    <w:p>
      <w:pPr>
        <w:spacing w:line="276" w:lineRule="auto" w:before="0" w:after="160"/>
        <w:jc w:val="both"/>
      </w:pPr>
      <w:r>
        <w:t>Mon parcours m'a doté d'une forte culture de la donnée spatiale (SIG,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afin de transformer des données brutes en outils d'aide à la décision.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