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Fevrier</w:t>
      </w:r>
    </w:p>
    <w:p>
      <w:pPr>
        <w:spacing w:line="240" w:lineRule="auto" w:before="0" w:after="0"/>
        <w:jc w:val="right"/>
      </w:pPr>
      <w:r>
        <w:t>46 Boulevard du Roi René</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Fevrier,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w:t>
      </w:r>
    </w:p>
    <w:p>
      <w:pPr>
        <w:spacing w:line="276" w:lineRule="auto" w:before="0" w:after="160"/>
        <w:jc w:val="both"/>
      </w:pPr>
      <w:r>
        <w:t>Votre cabinet, implanté à Angers et à Mauges sur Loire, se distingue par une organisation qui permet une couverture géographique diversifiée et une présence forte sur des territoires variés. Cette dualité géographique suggère une pratique riche, capable de répondre avec précision tant aux enjeux de densification urbaine qu'aux problématiques foncières spécifiques des zones rurales. La dimension à taille humaine de votre structure garantit une maîtrise exigeante du cœur de métier, privilégiant une relation de proximité avec la clientèle et la qualité du conseil.</w:t>
      </w:r>
    </w:p>
    <w:p>
      <w:pPr>
        <w:spacing w:line="276" w:lineRule="auto" w:before="0" w:after="160"/>
        <w:jc w:val="both"/>
      </w:pPr>
      <w:r>
        <w:t>Mon parcours universitaire m'a doté d'une forte culture de la donnée spatiale (SIG, topographie, modélisation) et d'une solide capacité d'analyse face aux problématiques complexes. Mon objectif est de mettre cette force de production technique au service de vos opérations de terrain, tout en m'appuyant sur ma méthodologie de chercheur pour assimiler rapidement le cadre réglementaire de la profession. Je conçois ce stage comme un véritable échange de compétences entre la rigueur de la donnée et l'expertise du droit foncier, en mettant à profit ma capacité à synthétiser des informations complexes issues d'archives ou de relevés techniques.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Fevrier,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