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GEomotis SELARL</w:t>
      </w:r>
    </w:p>
    <w:p>
      <w:pPr>
        <w:spacing w:line="240" w:lineRule="auto" w:before="0" w:after="0"/>
        <w:jc w:val="right"/>
      </w:pPr>
      <w:r>
        <w:t>33 avenue de la Tessoualle BP 31253</w:t>
      </w:r>
    </w:p>
    <w:p>
      <w:pPr>
        <w:spacing w:line="240" w:lineRule="auto" w:before="0" w:after="0"/>
        <w:jc w:val="right"/>
      </w:pPr>
      <w:r>
        <w:t>49312 CHOLET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étant confirmé par l'Ordre, je suis à la recherche d'un poste de collaborateur qui constituera le cadre de mon stage professionnel de deux ans. À l’issue d’un stage d’observation très instructif au sein du cabinet de Monsieur Pascal Vailles à Muret (31), je dépose aujourd'hui ma candidature pour intégrer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Le cabinet GEomotis, par son ancrage territorial à Cholet et son organisation en SELARL, témoigne d'une expertise établie et d'un engagement constant envers la qualité de service. Votre activité, centrée sur la maîtrise des fondamentaux du métier de géomètre-expert, reflète une solide capacité à sécuriser le foncier dans un environnement géographique varié. Cette approche pragmatique, alliant expertise technique de proximité et gestion rigoureuse des dossiers, correspond aux valeurs de professionnalisme que je souhaite porter dans mon futur poste.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l'intégration de mon profil technique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