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Langlois</w:t>
      </w:r>
    </w:p>
    <w:p>
      <w:pPr>
        <w:spacing w:line="240" w:lineRule="auto" w:before="0" w:after="0"/>
        <w:jc w:val="right"/>
      </w:pPr>
      <w:r>
        <w:t>Cabinet ROUSSEL - LANGLOIS</w:t>
      </w:r>
    </w:p>
    <w:p>
      <w:pPr>
        <w:spacing w:line="240" w:lineRule="auto" w:before="0" w:after="0"/>
        <w:jc w:val="right"/>
      </w:pPr>
      <w:r>
        <w:t>1 rue de Buffon Le Carroussel</w:t>
      </w:r>
    </w:p>
    <w:p>
      <w:pPr>
        <w:spacing w:line="240" w:lineRule="auto" w:before="0" w:after="0"/>
        <w:jc w:val="right"/>
      </w:pPr>
      <w:r>
        <w:t>49100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Angers depuis 1982, témoigne d'une solide expérience et d'une pérennité qui garantissent une maîtrise approfondie du cœur de métier. La dimension humaine de votre structure, avec une équipe de taille intermédiaire, suggère un environnement de travail où la transmission des savoirs et la proximité avec les clients sont des valeurs clés. Cette stabilité, alliée à une expertise établie sur le territoire, constitue un cadre idéal pour un futur collaborateur en quête de rigueur et de professionnalisme.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Langlois,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