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de KALIGEO</w:t>
      </w:r>
    </w:p>
    <w:p>
      <w:pPr>
        <w:spacing w:line="240" w:lineRule="auto" w:before="0" w:after="0"/>
        <w:jc w:val="right"/>
      </w:pPr>
      <w:r>
        <w:t>21 Rue Ferdinand Buisson Parc Tertiaire Cérès Bâtiment I</w:t>
      </w:r>
    </w:p>
    <w:p>
      <w:pPr>
        <w:spacing w:line="240" w:lineRule="auto" w:before="0" w:after="0"/>
        <w:jc w:val="right"/>
      </w:pPr>
      <w:r>
        <w:t>53810 CHANGE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établie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qu’il s’agisse de bornage, de division ou d’aménagement durable.</w:t>
      </w:r>
    </w:p>
    <w:p>
      <w:pPr>
        <w:spacing w:line="276" w:lineRule="auto" w:before="0" w:after="160"/>
        <w:jc w:val="both"/>
      </w:pPr>
      <w:r>
        <w:t>Le cabinet KALIGEO se distingue par une organisation solide et une présence stratégique sur deux sites distincts à Change et à Ernée. Cette implantation témoigne d'une capacité à intervenir sur une grande diversité de contextes géographiques, permettant d'appréhender la réalité du métier dans des environnements variés, tant urbains que ruraux. Une telle structure garantit une approche rigoureuse des problématiques foncières et une vision globale des enjeux d'aménagement du territoire, tout en offrant la stabilité d'un cabinet structuré et expérimenté.</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issue de mes travaux de recherche,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structuré.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