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Harry Langevin</w:t>
      </w:r>
    </w:p>
    <w:p>
      <w:pPr>
        <w:spacing w:line="240" w:lineRule="auto" w:before="0" w:after="0"/>
        <w:jc w:val="right"/>
      </w:pPr>
      <w:r>
        <w:t>LANGEVIN Harry SARL de Géomètres-Experts</w:t>
      </w:r>
    </w:p>
    <w:p>
      <w:pPr>
        <w:spacing w:line="240" w:lineRule="auto" w:before="0" w:after="0"/>
        <w:jc w:val="right"/>
      </w:pPr>
      <w:r>
        <w:t>3 route de Marigné Peuton</w:t>
      </w:r>
    </w:p>
    <w:p>
      <w:pPr>
        <w:spacing w:line="240" w:lineRule="auto" w:before="0" w:after="0"/>
        <w:jc w:val="right"/>
      </w:pPr>
      <w:r>
        <w:t>53200 CHATEAU GONTIER SUR MAYENNE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Langevin,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présence sur trois implantations distinctes, couvrant une diversité de territoires allant des zones rurales aux pôles urbains. Cette structure géographique témoigne d'une capacité à intervenir sur une grande variété de problématiques foncières et d'une maîtrise approfondie des spécificités locales. Cette polyvalence territoriale offre un cadre d'exercice complet pour la pratique du métier de géomètre-expert, garantissant une approche globale des enjeux d'aménagement et de gestion du foncier.</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Langevin,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