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GEODOMIA</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professionnelle vers le métier de géomètre-expert, je prépare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offre de services complète, couvrant aussi bien le bornage et la division parcellaire que l'aménagement foncier agricole et forestier. Cette polyvalence, alliée à une maîtrise pointue des études techniques — de la cubature à la gestion de réseaux — témoigne d'une expertise solide sur l'ensemble du territoire. Par ailleurs, votre engagement pour la continuité des démarches et la rigueur dans la gestion des archives souligne une approche responsable, centrée sur la sécurisation durable des droits fonciers.</w:t>
      </w:r>
    </w:p>
    <w:p>
      <w:pPr>
        <w:spacing w:line="276" w:lineRule="auto" w:before="0" w:after="160"/>
        <w:jc w:val="both"/>
      </w:pPr>
      <w:r>
        <w:t>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