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Damien Veronneau</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Veronneau,</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se distingue par un ancrage territorial marqué dans les départements de la Vendée et des Deux-Sèvres, tout en proposant une offre de services complète et diversifiée. Votre spécialisation en maîtrise d’œuvre VRD et urbanisme, couplée à une maîtrise avancée des technologies de pointe telles que le scan 3D, le Lidar ou la photogrammétrie, témoigne d'une volonté constante d'innovation et de technicité. J'apprécie particulièrement la diversité de vos missions, allant des travaux fonciers classiques aux prestations plus atypiques comme les relevés bathymétriques, qui illustrent une réelle culture de la découverte technique et de la précision. Votre positionnement de partenaire local, alliant proximité et expertise, correspond à une vision exigeante du métier.</w:t>
      </w:r>
    </w:p>
    <w:p>
      <w:pPr>
        <w:spacing w:line="276" w:lineRule="auto" w:before="0" w:after="160"/>
        <w:jc w:val="both"/>
      </w:pPr>
      <w:r>
        <w:t>Mon parcours universitaire m'a doté d'une forte culture de la donnée spatiale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Veronneau,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