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Hugues Marie Gaston Cesbron</w:t>
      </w:r>
    </w:p>
    <w:p>
      <w:pPr>
        <w:spacing w:line="240" w:lineRule="auto" w:before="0" w:after="0"/>
        <w:jc w:val="right"/>
      </w:pPr>
      <w:r>
        <w:t>LA BOUSSOLE</w:t>
      </w:r>
    </w:p>
    <w:p>
      <w:pPr>
        <w:spacing w:line="240" w:lineRule="auto" w:before="0" w:after="0"/>
        <w:jc w:val="right"/>
      </w:pPr>
      <w:r>
        <w:t>165 bis rue de beauregard</w:t>
      </w:r>
    </w:p>
    <w:p>
      <w:pPr>
        <w:spacing w:line="240" w:lineRule="auto" w:before="0" w:after="0"/>
        <w:jc w:val="right"/>
      </w:pPr>
      <w:r>
        <w:t>85230 ST GERVAIS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Cesbron,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dynamique et en pleine expansion.</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historiques, les réalités matérielles et les règles complexes d’urbanisme pour sécuriser des projets. Qu'il s'agisse de bornage, de division parcellaire ou d’aménagement durable, je cherche à apporter une réponse précise et rigoureuse aux enjeux fonciers contemporains.</w:t>
      </w:r>
    </w:p>
    <w:p>
      <w:pPr>
        <w:spacing w:line="276" w:lineRule="auto" w:before="0" w:after="160"/>
        <w:jc w:val="both"/>
      </w:pPr>
      <w:r>
        <w:t>La création récente du cabinet LA BOUSSOLE témoigne d'une volonté de dynamisme et d'un développement structuré. L'implantation d'une structure nouvelle dans le secteur de Saint-Gervais souligne une volonté de répondre avec réactivité aux besoins locaux, tout en garantissant les exigences de précision et de proximité que requiert l'expertise foncière. Cette dynamique de croissance témoigne d'une volonté de bâtir une identité forte et de proposer un accompagnement de qualité aux acteurs du territoire.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me permettra de traiter efficacement des dossiers techniques variés.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Cesbron,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