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Lagarde</w:t>
      </w:r>
    </w:p>
    <w:p>
      <w:pPr>
        <w:spacing w:line="240" w:lineRule="auto" w:before="0" w:after="0"/>
        <w:jc w:val="right"/>
      </w:pPr>
      <w:r>
        <w:t>Cabinet LAGARDE Pierre</w:t>
      </w:r>
    </w:p>
    <w:p>
      <w:pPr>
        <w:spacing w:line="240" w:lineRule="auto" w:before="0" w:after="0"/>
        <w:jc w:val="right"/>
      </w:pPr>
      <w:r>
        <w:t>120 rue Saunerie</w:t>
      </w:r>
    </w:p>
    <w:p>
      <w:pPr>
        <w:spacing w:line="240" w:lineRule="auto" w:before="0" w:after="0"/>
        <w:jc w:val="right"/>
      </w:pPr>
      <w:r>
        <w:t>04200 SISTERON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Lagarde,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important, avec des implantations à Sisteron, Digne-les-Bains et Toulon. Cette présence multisite témoigne d'une capacité à intervenir sur des contextes variés, allant des zones de montagne aux environnements littoraux et urbains. La pérennité de votre structure, établie depuis 1981, souligne une maîtrise solide des fondamentaux du métier et une expertise reconnue dans la gestion du foncier. Cette diversité de terrains et la stabilité de votre pratique offrent un cadre de travail exigeant et complet pour la compréhension des enjeux géographiques, fonciers et réglementaires.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indispensable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Lagarde,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