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Géomètre en Provence</w:t>
      </w:r>
    </w:p>
    <w:p>
      <w:pPr>
        <w:spacing w:line="240" w:lineRule="auto" w:before="0" w:after="0"/>
        <w:jc w:val="right"/>
      </w:pPr>
      <w:r>
        <w:t>25 Via Domitia, 04200 CHATEAUNEUF VAL ST DONAT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s'inscrit dans une implantation locale forte au sein du territoire de Provence, à Châteauneuf-Val-St-Donat. Cette présence de proximité suggère une maîtrise fine des spécificités foncières régionales et une grande diversité de projets, allant des zones urbaines aux espaces ruraux. En tant que structure ancrée dans son territoire, votre cabinet semble privilégier une approche de terrain solide, garantissant une connaissance approfondie du patrimoine foncier et des enjeux d'aménagement propres à la région. Cette expertise de proximité constitue un cadre propice pour appréhender la complexité des interventions géométriques.</w:t>
      </w:r>
    </w:p>
    <w:p>
      <w:pPr>
        <w:spacing w:line="276" w:lineRule="auto" w:before="0" w:after="160"/>
        <w:jc w:val="both"/>
      </w:pPr>
      <w:r>
        <w:t>Mon parcours académique m'a doté d'une forte culture de la donnée spatiale, notamment en matière de topographie et de modélisation. Ma capacité d'analyse, forgée par une approche de recherche rigoureuse, me permet d'aborder sereinement des problématiques complexes.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 tout en développant mes compétences en droit foncier auprès de vos équipes.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