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Carlavan</w:t>
      </w:r>
    </w:p>
    <w:p>
      <w:pPr>
        <w:spacing w:line="240" w:lineRule="auto" w:before="0" w:after="0"/>
        <w:jc w:val="right"/>
      </w:pPr>
      <w:r>
        <w:t>SELARL CARLAVAN GEOMETRE-EXPERT</w:t>
      </w:r>
    </w:p>
    <w:p>
      <w:pPr>
        <w:spacing w:line="240" w:lineRule="auto" w:before="0" w:after="0"/>
        <w:jc w:val="right"/>
      </w:pPr>
      <w:r>
        <w:t>18 Place de la République</w:t>
      </w:r>
    </w:p>
    <w:p>
      <w:pPr>
        <w:spacing w:line="240" w:lineRule="auto" w:before="0" w:after="0"/>
        <w:jc w:val="right"/>
      </w:pPr>
      <w:r>
        <w:t>04000 DIGNE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Carlavan,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1900, incarne une expérience solide et une maîtrise durable du cœur de métier. Cette longévité exceptionnelle témoigne d'une connaissance profonde du patrimoine foncier local et d'une expertise ancrée dans la transmission des savoirs géométriques. Le fonctionnement à taille humaine de votre structure suggère une approche de proximité, où la précision technique, le sens du conseil et la qualité du service aux usagers demeurent au centre de l'activité quotidienne, garantissant un accompagnement rigoureux et personnalisé sur chaque dossier.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d'apporter une contribution sérieuse et structurée à vos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Carlavan,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