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Benjamin Bourene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Bourene,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SELAS BOURENE RICHARD se distingue par une approche qui concilie l'héritage historique et la modernité technique. La détention d'un patrimoine d'archives de plus de 60 ans témoigne d'une maîtrise profonde du foncier local, tandis que l'utilisation d'outils de pointe, tels que le scanner dynamique Geoslam ou les stations robotisées Trimble, souligne une volonté d'excellence technologique. Votre cabinet place par ailleurs la relation humaine et la compréhension des besoins spécifiques au cœur de sa démarche, garantissant un suivi personnalisé et une écoute attentive pour chaque projet, qu'il soit complexe ou délicat.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Bourene,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